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54F58A" w14:textId="15465A13" w:rsidR="00D8171C" w:rsidRPr="00760530" w:rsidRDefault="00D8171C" w:rsidP="00D8171C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>
        <w:t>6bis-e</w:t>
      </w:r>
      <w:r w:rsidRPr="00760530">
        <w:tab/>
      </w:r>
      <w:r w:rsidRPr="00694D7C">
        <w:rPr>
          <w:sz w:val="32"/>
          <w:szCs w:val="32"/>
        </w:rPr>
        <w:t>R1-21</w:t>
      </w:r>
      <w:r>
        <w:rPr>
          <w:sz w:val="32"/>
          <w:szCs w:val="32"/>
        </w:rPr>
        <w:t>10140</w:t>
      </w:r>
    </w:p>
    <w:p w14:paraId="035C7532" w14:textId="70D77A35" w:rsidR="00D8171C" w:rsidRPr="00CC03EE" w:rsidRDefault="00D8171C" w:rsidP="00D8171C">
      <w:pPr>
        <w:pStyle w:val="3GPPHeader"/>
      </w:pPr>
      <w:r w:rsidRPr="003D7A16">
        <w:t xml:space="preserve">e-Meeting, </w:t>
      </w:r>
      <w:r>
        <w:t>Oct 11-19</w:t>
      </w:r>
      <w:r w:rsidRPr="003D7A16">
        <w:t>th, 202</w:t>
      </w:r>
      <w:r>
        <w:t>1</w:t>
      </w:r>
    </w:p>
    <w:p w14:paraId="0D08AC46" w14:textId="77777777" w:rsidR="00D8171C" w:rsidRPr="00CC03EE" w:rsidRDefault="00D8171C" w:rsidP="00D8171C">
      <w:pPr>
        <w:pStyle w:val="3GPPHeader"/>
      </w:pPr>
    </w:p>
    <w:p w14:paraId="20C5BA3F" w14:textId="77777777" w:rsidR="00D8171C" w:rsidRPr="00CC03EE" w:rsidRDefault="00D8171C" w:rsidP="00D8171C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Pr="00C736D5">
        <w:rPr>
          <w:sz w:val="22"/>
        </w:rPr>
        <w:t>8.7.3</w:t>
      </w:r>
      <w:r w:rsidRPr="00CC03EE">
        <w:rPr>
          <w:sz w:val="22"/>
        </w:rPr>
        <w:t xml:space="preserve"> </w:t>
      </w:r>
    </w:p>
    <w:p w14:paraId="5C86BAEF" w14:textId="77777777" w:rsidR="00D8171C" w:rsidRPr="00760530" w:rsidRDefault="00D8171C" w:rsidP="00D8171C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37BE3792" w14:textId="77777777" w:rsidR="00D8171C" w:rsidRPr="00760530" w:rsidRDefault="00D8171C" w:rsidP="00D8171C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 w:rsidRPr="00867336">
        <w:rPr>
          <w:sz w:val="22"/>
        </w:rPr>
        <w:t>Evaluation results for UE power saving schemes</w:t>
      </w:r>
    </w:p>
    <w:p w14:paraId="1766A03A" w14:textId="77777777" w:rsidR="00D8171C" w:rsidRDefault="00D8171C" w:rsidP="00D8171C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 and Decision</w:t>
      </w:r>
    </w:p>
    <w:p w14:paraId="571D8FC9" w14:textId="77777777" w:rsidR="00D8171C" w:rsidRPr="00760530" w:rsidRDefault="00D8171C" w:rsidP="00D8171C">
      <w:pPr>
        <w:pStyle w:val="3GPPHeader"/>
        <w:spacing w:after="0"/>
        <w:rPr>
          <w:sz w:val="22"/>
        </w:rPr>
      </w:pPr>
    </w:p>
    <w:p w14:paraId="2421ED22" w14:textId="77777777" w:rsidR="00D8171C" w:rsidRPr="005F577B" w:rsidRDefault="00D8171C" w:rsidP="00D8171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5F577B">
        <w:rPr>
          <w:lang w:val="en-US"/>
        </w:rPr>
        <w:t>Introduction</w:t>
      </w:r>
    </w:p>
    <w:p w14:paraId="44930665" w14:textId="7034A245" w:rsidR="00D8171C" w:rsidRDefault="00D8171C" w:rsidP="00D8171C">
      <w:pPr>
        <w:pStyle w:val="BodyText"/>
        <w:rPr>
          <w:rFonts w:asciiTheme="minorHAnsi" w:hAnsiTheme="minorHAnsi" w:cstheme="minorHAnsi"/>
        </w:rPr>
      </w:pPr>
      <w:r w:rsidRPr="00EA7486">
        <w:rPr>
          <w:rFonts w:asciiTheme="minorHAnsi" w:hAnsiTheme="minorHAnsi" w:cstheme="minorHAnsi"/>
        </w:rPr>
        <w:t xml:space="preserve">In this paper, additional simulation results for PDCCH monitoring adaptation are presented, </w:t>
      </w:r>
      <w:r>
        <w:rPr>
          <w:rFonts w:asciiTheme="minorHAnsi" w:hAnsiTheme="minorHAnsi" w:cstheme="minorHAnsi"/>
        </w:rPr>
        <w:t>for SSSG-switching in relation with DRX functionality. This is a resubmission of R1-210</w:t>
      </w:r>
      <w:r w:rsidR="00C117EF">
        <w:rPr>
          <w:rFonts w:asciiTheme="minorHAnsi" w:hAnsiTheme="minorHAnsi" w:cstheme="minorHAnsi"/>
        </w:rPr>
        <w:t>8002</w:t>
      </w:r>
      <w:r>
        <w:rPr>
          <w:rFonts w:asciiTheme="minorHAnsi" w:hAnsiTheme="minorHAnsi" w:cstheme="minorHAnsi"/>
        </w:rPr>
        <w:t xml:space="preserve"> from RAN1#10</w:t>
      </w:r>
      <w:r w:rsidR="00C117EF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-e. </w:t>
      </w:r>
    </w:p>
    <w:p w14:paraId="576930C0" w14:textId="77777777" w:rsidR="00D8171C" w:rsidRPr="00D9699D" w:rsidRDefault="00D8171C" w:rsidP="00D8171C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Start w:id="1" w:name="_Toc5022906"/>
      <w:bookmarkEnd w:id="0"/>
      <w:bookmarkEnd w:id="1"/>
      <w:r>
        <w:rPr>
          <w:lang w:val="en-US"/>
        </w:rPr>
        <w:t>Performance evaluations</w:t>
      </w:r>
    </w:p>
    <w:p w14:paraId="79800A57" w14:textId="77777777" w:rsidR="00D8171C" w:rsidRPr="00171211" w:rsidRDefault="00D8171C" w:rsidP="00D8171C">
      <w:pPr>
        <w:jc w:val="both"/>
        <w:rPr>
          <w:lang w:val="en-GB" w:eastAsia="ja-JP"/>
        </w:rPr>
      </w:pPr>
      <w:r>
        <w:rPr>
          <w:lang w:val="en-GB" w:eastAsia="ja-JP"/>
        </w:rPr>
        <w:t>In the previous meeting, it was agreed that the PDCCH monitoring adaptation agenda item AI in the UE power-saving (UEPS) work item (WI) will focus on PDCCH-skipping and SSSG-switching. In PDCCH-skipping, the UE is configured with a certain skipping duration. The NW then command the UE to skip PDCCH monitoring during that duration when the NW has no data in the buffer. In SSSG-switching, the UE is configured with two SSSGs. In the simulation, the UE is configured with dense monitoring (i.e., monitoring PDCCH in every slot) and sparse monitoring (monitoring a certain duration in every certain period). The UE switches to dense monitoring when there is no data in the NW buffer.</w:t>
      </w:r>
      <w:r w:rsidRPr="007E14FB">
        <w:rPr>
          <w:rFonts w:cstheme="minorHAnsi"/>
        </w:rPr>
        <w:t xml:space="preserve"> </w:t>
      </w:r>
    </w:p>
    <w:p w14:paraId="4019AE95" w14:textId="77777777" w:rsidR="00D8171C" w:rsidRDefault="00D8171C" w:rsidP="00D8171C">
      <w:pPr>
        <w:pStyle w:val="Heading2"/>
      </w:pPr>
      <w:r>
        <w:t>2. 1.</w:t>
      </w:r>
      <w:r>
        <w:tab/>
        <w:t>SSSG-switching + DRX functionality</w:t>
      </w:r>
    </w:p>
    <w:p w14:paraId="344B5116" w14:textId="77777777" w:rsidR="00D8171C" w:rsidRDefault="00D8171C" w:rsidP="00D8171C">
      <w:pPr>
        <w:rPr>
          <w:lang w:val="en-GB" w:eastAsia="ja-JP"/>
        </w:rPr>
      </w:pPr>
      <w:r>
        <w:rPr>
          <w:lang w:val="en-GB" w:eastAsia="ja-JP"/>
        </w:rPr>
        <w:t>T</w:t>
      </w:r>
      <w:r w:rsidRPr="00F63FFB">
        <w:rPr>
          <w:lang w:val="en-GB" w:eastAsia="ja-JP"/>
        </w:rPr>
        <w:t>he performance comparison of SSSG-switching for the cases of the DRX on-duration us</w:t>
      </w:r>
      <w:r>
        <w:rPr>
          <w:lang w:val="en-GB" w:eastAsia="ja-JP"/>
        </w:rPr>
        <w:t>ing</w:t>
      </w:r>
      <w:r w:rsidRPr="00F63FFB">
        <w:rPr>
          <w:lang w:val="en-GB" w:eastAsia="ja-JP"/>
        </w:rPr>
        <w:t xml:space="preserve"> the sparse PDCCH monitoring </w:t>
      </w:r>
      <w:r>
        <w:rPr>
          <w:lang w:val="en-GB" w:eastAsia="ja-JP"/>
        </w:rPr>
        <w:t xml:space="preserve">(or sparse SSSG) </w:t>
      </w:r>
      <w:r w:rsidRPr="00F63FFB">
        <w:rPr>
          <w:lang w:val="en-GB" w:eastAsia="ja-JP"/>
        </w:rPr>
        <w:t xml:space="preserve">and dense PDCCH-monitoring </w:t>
      </w:r>
      <w:r>
        <w:rPr>
          <w:lang w:val="en-GB" w:eastAsia="ja-JP"/>
        </w:rPr>
        <w:t>(dense SSSG) is shown below</w:t>
      </w:r>
      <w:r w:rsidRPr="00F63FFB">
        <w:rPr>
          <w:lang w:val="en-GB" w:eastAsia="ja-JP"/>
        </w:rPr>
        <w:t>.</w:t>
      </w:r>
    </w:p>
    <w:p w14:paraId="4872935B" w14:textId="77777777" w:rsidR="00D8171C" w:rsidRDefault="00D8171C" w:rsidP="00D8171C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The timeline of these scenarios can be seen in the following figures.</w:t>
      </w:r>
    </w:p>
    <w:p w14:paraId="6E8BE625" w14:textId="77777777" w:rsidR="00D8171C" w:rsidRDefault="00D8171C" w:rsidP="00D8171C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34997A49" wp14:editId="7EF50EA5">
            <wp:extent cx="5400000" cy="11738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08FC5A" w14:textId="77777777" w:rsidR="00D8171C" w:rsidRDefault="00D8171C" w:rsidP="00D8171C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1. Sparse monitoring is used in the DRX on-duration. Only long-DRX is configured.</w:t>
      </w:r>
    </w:p>
    <w:p w14:paraId="5BC5B32E" w14:textId="77777777" w:rsidR="00D8171C" w:rsidRDefault="00D8171C" w:rsidP="00D8171C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1A3FBEC3" wp14:editId="1A860B32">
            <wp:extent cx="5400000" cy="117386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77C52D" w14:textId="77777777" w:rsidR="00D8171C" w:rsidRDefault="00D8171C" w:rsidP="00D8171C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2. Dense monitoring is used in the DRX on-duration. Only long-DRX is configured.</w:t>
      </w:r>
    </w:p>
    <w:p w14:paraId="6FD4248A" w14:textId="77777777" w:rsidR="00D8171C" w:rsidRDefault="00D8171C" w:rsidP="00D8171C">
      <w:pPr>
        <w:jc w:val="both"/>
        <w:rPr>
          <w:rFonts w:cs="Arial"/>
          <w:lang w:eastAsia="ja-JP"/>
        </w:rPr>
      </w:pPr>
    </w:p>
    <w:p w14:paraId="388AB021" w14:textId="77777777" w:rsidR="00D8171C" w:rsidRDefault="00D8171C" w:rsidP="00D8171C">
      <w:pPr>
        <w:jc w:val="both"/>
        <w:rPr>
          <w:rFonts w:cs="Arial"/>
          <w:lang w:eastAsia="ja-JP"/>
        </w:rPr>
      </w:pPr>
      <w:r w:rsidRPr="00DC09F5">
        <w:rPr>
          <w:rFonts w:cs="Arial"/>
          <w:lang w:eastAsia="ja-JP"/>
        </w:rPr>
        <w:t>The parameter of each method can be seen in below table.</w:t>
      </w:r>
      <w:r>
        <w:rPr>
          <w:rFonts w:cs="Arial"/>
          <w:lang w:eastAsia="ja-JP"/>
        </w:rPr>
        <w:t xml:space="preserve"> </w:t>
      </w:r>
    </w:p>
    <w:p w14:paraId="3B93AE57" w14:textId="77777777" w:rsidR="00D8171C" w:rsidRDefault="00D8171C" w:rsidP="00D8171C">
      <w:pPr>
        <w:spacing w:after="0"/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1. </w:t>
      </w:r>
      <w:r>
        <w:rPr>
          <w:rFonts w:cs="Arial"/>
          <w:lang w:eastAsia="ja-JP"/>
        </w:rPr>
        <w:t>Parameter set-up for the case of long-DRX only scenario</w:t>
      </w:r>
    </w:p>
    <w:tbl>
      <w:tblPr>
        <w:tblStyle w:val="TableGrid"/>
        <w:tblW w:w="9411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2551"/>
        <w:gridCol w:w="6236"/>
      </w:tblGrid>
      <w:tr w:rsidR="00D8171C" w:rsidRPr="004F4EA9" w14:paraId="4FEB845B" w14:textId="77777777" w:rsidTr="00AD450C">
        <w:trPr>
          <w:trHeight w:val="483"/>
          <w:jc w:val="center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2B941CF8" w14:textId="77777777" w:rsidR="00D8171C" w:rsidRPr="004F4EA9" w:rsidRDefault="00D8171C" w:rsidP="00AD45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6C281601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Methods</w:t>
            </w:r>
          </w:p>
        </w:tc>
        <w:tc>
          <w:tcPr>
            <w:tcW w:w="6236" w:type="dxa"/>
            <w:shd w:val="clear" w:color="auto" w:fill="D9E2F3" w:themeFill="accent1" w:themeFillTint="33"/>
            <w:vAlign w:val="center"/>
          </w:tcPr>
          <w:p w14:paraId="58E1223E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Parameter / Remark</w:t>
            </w:r>
          </w:p>
        </w:tc>
      </w:tr>
      <w:tr w:rsidR="00D8171C" w:rsidRPr="004F4EA9" w14:paraId="63D13125" w14:textId="77777777" w:rsidTr="00AD450C">
        <w:trPr>
          <w:trHeight w:val="340"/>
          <w:jc w:val="center"/>
        </w:trPr>
        <w:tc>
          <w:tcPr>
            <w:tcW w:w="624" w:type="dxa"/>
            <w:vAlign w:val="center"/>
          </w:tcPr>
          <w:p w14:paraId="19417D1D" w14:textId="77777777" w:rsidR="00D8171C" w:rsidRPr="004F4EA9" w:rsidRDefault="00D8171C" w:rsidP="00AD45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0698427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6236" w:type="dxa"/>
            <w:vAlign w:val="center"/>
          </w:tcPr>
          <w:p w14:paraId="6AFF6BA3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</w:tc>
      </w:tr>
      <w:tr w:rsidR="00D8171C" w:rsidRPr="004F4EA9" w14:paraId="56E04FA8" w14:textId="77777777" w:rsidTr="00AD450C">
        <w:trPr>
          <w:trHeight w:val="340"/>
          <w:jc w:val="center"/>
        </w:trPr>
        <w:tc>
          <w:tcPr>
            <w:tcW w:w="624" w:type="dxa"/>
            <w:vAlign w:val="center"/>
          </w:tcPr>
          <w:p w14:paraId="6B573414" w14:textId="77777777" w:rsidR="00D8171C" w:rsidRPr="004F4EA9" w:rsidRDefault="00D8171C" w:rsidP="00AD45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0B75C2BA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3FBC1CEE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6236" w:type="dxa"/>
            <w:vAlign w:val="center"/>
          </w:tcPr>
          <w:p w14:paraId="2EAEBB9E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0060581F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0B2147D3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16CD23BA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monitoring.</w:t>
            </w:r>
          </w:p>
        </w:tc>
      </w:tr>
      <w:tr w:rsidR="00D8171C" w:rsidRPr="004F4EA9" w14:paraId="4E8F476F" w14:textId="77777777" w:rsidTr="00AD450C">
        <w:trPr>
          <w:trHeight w:val="340"/>
          <w:jc w:val="center"/>
        </w:trPr>
        <w:tc>
          <w:tcPr>
            <w:tcW w:w="624" w:type="dxa"/>
            <w:vAlign w:val="center"/>
          </w:tcPr>
          <w:p w14:paraId="765CBA5B" w14:textId="77777777" w:rsidR="00D8171C" w:rsidRPr="004F4EA9" w:rsidRDefault="00D8171C" w:rsidP="00AD450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5E6620CE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0F056079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6236" w:type="dxa"/>
            <w:vAlign w:val="center"/>
          </w:tcPr>
          <w:p w14:paraId="5C52A911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6A2CEA55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5826B411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5FD6CD4F" w14:textId="77777777" w:rsidR="00D8171C" w:rsidRPr="004F4EA9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monitoring.</w:t>
            </w:r>
          </w:p>
        </w:tc>
      </w:tr>
    </w:tbl>
    <w:p w14:paraId="69B45134" w14:textId="77777777" w:rsidR="00D8171C" w:rsidRDefault="00D8171C" w:rsidP="00D8171C">
      <w:pPr>
        <w:rPr>
          <w:lang w:eastAsia="ja-JP"/>
        </w:rPr>
      </w:pPr>
    </w:p>
    <w:p w14:paraId="459C169A" w14:textId="77777777" w:rsidR="00D8171C" w:rsidRDefault="00D8171C" w:rsidP="00D8171C">
      <w:pPr>
        <w:rPr>
          <w:lang w:eastAsia="ja-JP"/>
        </w:rPr>
      </w:pPr>
      <w:r>
        <w:rPr>
          <w:lang w:eastAsia="ja-JP"/>
        </w:rPr>
        <w:t>The simulation results can be seen in the below table.</w:t>
      </w:r>
    </w:p>
    <w:p w14:paraId="101BDC34" w14:textId="77777777" w:rsidR="00D8171C" w:rsidRDefault="00D8171C" w:rsidP="00D8171C">
      <w:pPr>
        <w:spacing w:after="0"/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2. </w:t>
      </w:r>
      <w:r>
        <w:rPr>
          <w:rFonts w:cs="Arial"/>
          <w:lang w:eastAsia="ja-JP"/>
        </w:rPr>
        <w:t>Power consumption and UPT performance in long-DRX only case</w:t>
      </w:r>
    </w:p>
    <w:tbl>
      <w:tblPr>
        <w:tblStyle w:val="TableGrid"/>
        <w:tblW w:w="7899" w:type="dxa"/>
        <w:jc w:val="center"/>
        <w:tblLook w:val="04A0" w:firstRow="1" w:lastRow="0" w:firstColumn="1" w:lastColumn="0" w:noHBand="0" w:noVBand="1"/>
      </w:tblPr>
      <w:tblGrid>
        <w:gridCol w:w="4252"/>
        <w:gridCol w:w="906"/>
        <w:gridCol w:w="905"/>
        <w:gridCol w:w="930"/>
        <w:gridCol w:w="906"/>
      </w:tblGrid>
      <w:tr w:rsidR="00D8171C" w:rsidRPr="00A469E2" w14:paraId="22F1EFE3" w14:textId="77777777" w:rsidTr="00AD450C">
        <w:trPr>
          <w:jc w:val="center"/>
        </w:trPr>
        <w:tc>
          <w:tcPr>
            <w:tcW w:w="4252" w:type="dxa"/>
            <w:shd w:val="clear" w:color="auto" w:fill="D9E2F3" w:themeFill="accent1" w:themeFillTint="33"/>
            <w:vAlign w:val="center"/>
          </w:tcPr>
          <w:p w14:paraId="17DB6A98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Methods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5795096E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(Mbps)</w:t>
            </w:r>
          </w:p>
        </w:tc>
        <w:tc>
          <w:tcPr>
            <w:tcW w:w="905" w:type="dxa"/>
            <w:shd w:val="clear" w:color="auto" w:fill="D9E2F3" w:themeFill="accent1" w:themeFillTint="33"/>
            <w:vAlign w:val="center"/>
          </w:tcPr>
          <w:p w14:paraId="0B97B45B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Loss</w:t>
            </w:r>
          </w:p>
          <w:p w14:paraId="55EEB00B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  <w:tc>
          <w:tcPr>
            <w:tcW w:w="930" w:type="dxa"/>
            <w:shd w:val="clear" w:color="auto" w:fill="D9E2F3" w:themeFill="accent1" w:themeFillTint="33"/>
            <w:vAlign w:val="center"/>
          </w:tcPr>
          <w:p w14:paraId="40E47D8C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 (Relative Units)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18B13EC0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saving</w:t>
            </w:r>
          </w:p>
          <w:p w14:paraId="62C10BE3" w14:textId="77777777" w:rsidR="00D8171C" w:rsidRPr="00A469E2" w:rsidRDefault="00D8171C" w:rsidP="00AD450C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</w:tr>
      <w:tr w:rsidR="00D8171C" w:rsidRPr="00A469E2" w14:paraId="76E12B2A" w14:textId="77777777" w:rsidTr="00AD450C">
        <w:trPr>
          <w:trHeight w:val="510"/>
          <w:jc w:val="center"/>
        </w:trPr>
        <w:tc>
          <w:tcPr>
            <w:tcW w:w="4252" w:type="dxa"/>
            <w:vAlign w:val="center"/>
          </w:tcPr>
          <w:p w14:paraId="368CAAF0" w14:textId="77777777" w:rsidR="00D8171C" w:rsidRPr="00A469E2" w:rsidRDefault="00D8171C" w:rsidP="00AD450C">
            <w:pPr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906" w:type="dxa"/>
            <w:vAlign w:val="center"/>
          </w:tcPr>
          <w:p w14:paraId="4D867A00" w14:textId="77777777" w:rsidR="00D8171C" w:rsidRPr="00843DB0" w:rsidRDefault="00D8171C" w:rsidP="00AD450C">
            <w:pPr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35.10</w:t>
            </w:r>
          </w:p>
        </w:tc>
        <w:tc>
          <w:tcPr>
            <w:tcW w:w="905" w:type="dxa"/>
            <w:shd w:val="clear" w:color="auto" w:fill="D0CECE" w:themeFill="background2" w:themeFillShade="E6"/>
            <w:vAlign w:val="center"/>
          </w:tcPr>
          <w:p w14:paraId="3B033069" w14:textId="77777777" w:rsidR="00D8171C" w:rsidRPr="00843DB0" w:rsidRDefault="00D8171C" w:rsidP="00AD450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046500E4" w14:textId="77777777" w:rsidR="00D8171C" w:rsidRPr="00843DB0" w:rsidRDefault="00D8171C" w:rsidP="00AD450C">
            <w:pPr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41.32</w:t>
            </w:r>
          </w:p>
        </w:tc>
        <w:tc>
          <w:tcPr>
            <w:tcW w:w="906" w:type="dxa"/>
            <w:shd w:val="clear" w:color="auto" w:fill="D0CECE" w:themeFill="background2" w:themeFillShade="E6"/>
            <w:vAlign w:val="center"/>
          </w:tcPr>
          <w:p w14:paraId="31DFEF04" w14:textId="77777777" w:rsidR="00D8171C" w:rsidRPr="009326A1" w:rsidRDefault="00D8171C" w:rsidP="00AD450C">
            <w:pPr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D8171C" w:rsidRPr="00A469E2" w14:paraId="18509AB2" w14:textId="77777777" w:rsidTr="00AD450C">
        <w:trPr>
          <w:trHeight w:val="510"/>
          <w:jc w:val="center"/>
        </w:trPr>
        <w:tc>
          <w:tcPr>
            <w:tcW w:w="4252" w:type="dxa"/>
            <w:vAlign w:val="center"/>
          </w:tcPr>
          <w:p w14:paraId="3741EBBC" w14:textId="77777777" w:rsidR="00D8171C" w:rsidRPr="00A469E2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76FD6056" w14:textId="77777777" w:rsidR="00D8171C" w:rsidRPr="00A469E2" w:rsidRDefault="00D8171C" w:rsidP="00AD450C">
            <w:pPr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906" w:type="dxa"/>
            <w:vAlign w:val="center"/>
          </w:tcPr>
          <w:p w14:paraId="7165C9A9" w14:textId="77777777" w:rsidR="00D8171C" w:rsidRPr="003B2D0B" w:rsidRDefault="00D8171C" w:rsidP="00AD450C">
            <w:pPr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34.70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68F65380" w14:textId="77777777" w:rsidR="00D8171C" w:rsidRPr="003B2D0B" w:rsidRDefault="00D8171C" w:rsidP="00AD450C">
            <w:pPr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1.2%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4CEE401F" w14:textId="77777777" w:rsidR="00D8171C" w:rsidRPr="003B2D0B" w:rsidRDefault="00D8171C" w:rsidP="00AD450C">
            <w:pPr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30.61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B1ED14E" w14:textId="77777777" w:rsidR="00D8171C" w:rsidRPr="003B2D0B" w:rsidRDefault="00D8171C" w:rsidP="00AD450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B2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3B2D0B">
              <w:rPr>
                <w:sz w:val="20"/>
                <w:szCs w:val="20"/>
              </w:rPr>
              <w:t>%</w:t>
            </w:r>
          </w:p>
        </w:tc>
      </w:tr>
      <w:tr w:rsidR="00D8171C" w:rsidRPr="00A469E2" w14:paraId="6EEBC4CD" w14:textId="77777777" w:rsidTr="00AD450C">
        <w:trPr>
          <w:trHeight w:val="510"/>
          <w:jc w:val="center"/>
        </w:trPr>
        <w:tc>
          <w:tcPr>
            <w:tcW w:w="4252" w:type="dxa"/>
            <w:vAlign w:val="center"/>
          </w:tcPr>
          <w:p w14:paraId="674B4DCB" w14:textId="77777777" w:rsidR="00D8171C" w:rsidRPr="00A469E2" w:rsidRDefault="00D8171C" w:rsidP="00AD450C">
            <w:pPr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4EF44840" w14:textId="77777777" w:rsidR="00D8171C" w:rsidRPr="00A469E2" w:rsidRDefault="00D8171C" w:rsidP="00AD450C">
            <w:pPr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906" w:type="dxa"/>
            <w:vAlign w:val="center"/>
          </w:tcPr>
          <w:p w14:paraId="0C84A17C" w14:textId="77777777" w:rsidR="00D8171C" w:rsidRPr="009326A1" w:rsidRDefault="00D8171C" w:rsidP="00AD450C">
            <w:pPr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33.28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5733CA8B" w14:textId="77777777" w:rsidR="00D8171C" w:rsidRPr="009326A1" w:rsidRDefault="00D8171C" w:rsidP="00AD450C">
            <w:pPr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5.2%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8EE0EAF" w14:textId="77777777" w:rsidR="00D8171C" w:rsidRPr="009326A1" w:rsidRDefault="00D8171C" w:rsidP="00AD450C">
            <w:pPr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28.71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B647C2" w14:textId="77777777" w:rsidR="00D8171C" w:rsidRPr="009326A1" w:rsidRDefault="00D8171C" w:rsidP="00AD450C">
            <w:pPr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30.5%</w:t>
            </w:r>
          </w:p>
        </w:tc>
      </w:tr>
    </w:tbl>
    <w:p w14:paraId="65E9D8D1" w14:textId="77777777" w:rsidR="00D8171C" w:rsidRDefault="00D8171C" w:rsidP="00D8171C">
      <w:pPr>
        <w:rPr>
          <w:rFonts w:cstheme="minorHAnsi"/>
          <w:lang w:eastAsia="ja-JP"/>
        </w:rPr>
      </w:pPr>
    </w:p>
    <w:p w14:paraId="572FBCF1" w14:textId="77777777" w:rsidR="00D8171C" w:rsidRDefault="00D8171C" w:rsidP="00D8171C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From the above simulation results, it can be observed that for the case of only long-DRX is configured, the power-saving gain by using sparse SS during the DRX on-duration is only about 5% at the cost of 4% of UPT loss. In other words, the gain of using/maintaining sparser SS during the DRX on-duration in this scenario is not clear.</w:t>
      </w:r>
    </w:p>
    <w:p w14:paraId="5D703C6C" w14:textId="77777777" w:rsidR="00D8171C" w:rsidRPr="00B2506F" w:rsidRDefault="00D8171C" w:rsidP="00D8171C">
      <w:pPr>
        <w:pStyle w:val="Observation"/>
        <w:rPr>
          <w:rFonts w:asciiTheme="minorHAnsi" w:hAnsiTheme="minorHAnsi" w:cstheme="minorHAnsi"/>
        </w:rPr>
      </w:pPr>
      <w:bookmarkStart w:id="2" w:name="_Toc71656444"/>
      <w:r>
        <w:rPr>
          <w:rFonts w:asciiTheme="minorHAnsi" w:hAnsiTheme="minorHAnsi" w:cstheme="minorHAnsi"/>
        </w:rPr>
        <w:t>Using dense monitoring during DRX on-duration provides better UPT vs UE power saving tradeoff</w:t>
      </w:r>
      <w:r w:rsidRPr="0018353A">
        <w:rPr>
          <w:rFonts w:asciiTheme="minorHAnsi" w:hAnsiTheme="minorHAnsi" w:cstheme="minorHAnsi"/>
        </w:rPr>
        <w:t>.</w:t>
      </w:r>
      <w:bookmarkEnd w:id="2"/>
    </w:p>
    <w:p w14:paraId="35CAD107" w14:textId="77777777" w:rsidR="00D8171C" w:rsidRPr="005F577B" w:rsidRDefault="00D8171C" w:rsidP="00D8171C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5F577B">
        <w:rPr>
          <w:lang w:val="en-US"/>
        </w:rPr>
        <w:t>Conclusion</w:t>
      </w:r>
    </w:p>
    <w:p w14:paraId="40C1D28F" w14:textId="77777777" w:rsidR="00D8171C" w:rsidRPr="00C437D1" w:rsidRDefault="00D8171C" w:rsidP="00D8171C">
      <w:pPr>
        <w:pStyle w:val="BodyText"/>
        <w:rPr>
          <w:rFonts w:cs="Arial"/>
        </w:rPr>
      </w:pPr>
      <w:r w:rsidRPr="00C437D1">
        <w:rPr>
          <w:rFonts w:cs="Arial"/>
        </w:rPr>
        <w:t xml:space="preserve">In section 2, the following observation </w:t>
      </w:r>
      <w:r>
        <w:rPr>
          <w:rFonts w:cs="Arial"/>
        </w:rPr>
        <w:t>is</w:t>
      </w:r>
      <w:r w:rsidRPr="00C437D1">
        <w:rPr>
          <w:rFonts w:cs="Arial"/>
        </w:rPr>
        <w:t xml:space="preserve"> made: </w:t>
      </w:r>
    </w:p>
    <w:p w14:paraId="66B789B2" w14:textId="77777777" w:rsidR="00D8171C" w:rsidRDefault="00D8171C" w:rsidP="00D8171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71656444" w:history="1">
        <w:r w:rsidRPr="00662BB7">
          <w:rPr>
            <w:rStyle w:val="Hyperlink"/>
            <w:rFonts w:cstheme="minorHAnsi"/>
            <w:noProof/>
          </w:rPr>
          <w:t>Observation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662BB7">
          <w:rPr>
            <w:rStyle w:val="Hyperlink"/>
            <w:rFonts w:cstheme="minorHAnsi"/>
            <w:noProof/>
          </w:rPr>
          <w:t>Using dense monitoring during DRX on-duration provides better UPT vs UE power saving tradeoff.</w:t>
        </w:r>
      </w:hyperlink>
    </w:p>
    <w:p w14:paraId="2A2A5206" w14:textId="77777777" w:rsidR="00D8171C" w:rsidRPr="00381CEC" w:rsidRDefault="00D8171C" w:rsidP="00D8171C">
      <w:pPr>
        <w:pStyle w:val="TableofFigures"/>
        <w:tabs>
          <w:tab w:val="right" w:leader="dot" w:pos="9629"/>
        </w:tabs>
        <w:ind w:left="0" w:firstLine="0"/>
      </w:pPr>
      <w:r w:rsidRPr="005F577B">
        <w:rPr>
          <w:bCs/>
        </w:rPr>
        <w:fldChar w:fldCharType="end"/>
      </w:r>
      <w:bookmarkStart w:id="3" w:name="_In-sequence_SDU_delivery"/>
      <w:bookmarkEnd w:id="3"/>
    </w:p>
    <w:p w14:paraId="71732ED8" w14:textId="77777777" w:rsidR="0049126A" w:rsidRDefault="0049126A"/>
    <w:sectPr w:rsidR="0049126A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B43E1" w14:textId="77777777" w:rsidR="00F55B8E" w:rsidRDefault="00F55B8E">
      <w:pPr>
        <w:spacing w:after="0" w:line="240" w:lineRule="auto"/>
      </w:pPr>
      <w:r>
        <w:separator/>
      </w:r>
    </w:p>
  </w:endnote>
  <w:endnote w:type="continuationSeparator" w:id="0">
    <w:p w14:paraId="3F04030A" w14:textId="77777777" w:rsidR="00F55B8E" w:rsidRDefault="00F55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54280" w14:textId="77777777" w:rsidR="000E4BE2" w:rsidRDefault="00D8171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16709" w14:textId="77777777" w:rsidR="00F55B8E" w:rsidRDefault="00F55B8E">
      <w:pPr>
        <w:spacing w:after="0" w:line="240" w:lineRule="auto"/>
      </w:pPr>
      <w:r>
        <w:separator/>
      </w:r>
    </w:p>
  </w:footnote>
  <w:footnote w:type="continuationSeparator" w:id="0">
    <w:p w14:paraId="3AEADBC4" w14:textId="77777777" w:rsidR="00F55B8E" w:rsidRDefault="00F55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8342A" w14:textId="77777777" w:rsidR="000E4BE2" w:rsidRDefault="00D817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71C"/>
    <w:rsid w:val="00056A28"/>
    <w:rsid w:val="0049126A"/>
    <w:rsid w:val="004B0770"/>
    <w:rsid w:val="00C117EF"/>
    <w:rsid w:val="00D8171C"/>
    <w:rsid w:val="00F5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6F3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71C"/>
  </w:style>
  <w:style w:type="paragraph" w:styleId="Heading1">
    <w:name w:val="heading 1"/>
    <w:next w:val="Normal"/>
    <w:link w:val="Heading1Char"/>
    <w:qFormat/>
    <w:rsid w:val="00D817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8171C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171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8171C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D8171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D8171C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8171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D8171C"/>
  </w:style>
  <w:style w:type="paragraph" w:styleId="BodyText">
    <w:name w:val="Body Text"/>
    <w:basedOn w:val="Normal"/>
    <w:link w:val="BodyTextChar"/>
    <w:rsid w:val="00D8171C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D8171C"/>
    <w:rPr>
      <w:rFonts w:ascii="Arial" w:hAnsi="Arial"/>
    </w:rPr>
  </w:style>
  <w:style w:type="character" w:styleId="Hyperlink">
    <w:name w:val="Hyperlink"/>
    <w:uiPriority w:val="99"/>
    <w:rsid w:val="00D8171C"/>
    <w:rPr>
      <w:color w:val="0000FF"/>
      <w:u w:val="single"/>
    </w:rPr>
  </w:style>
  <w:style w:type="paragraph" w:customStyle="1" w:styleId="Observation">
    <w:name w:val="Observation"/>
    <w:basedOn w:val="Normal"/>
    <w:qFormat/>
    <w:rsid w:val="00D8171C"/>
    <w:pPr>
      <w:numPr>
        <w:numId w:val="1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ja-JP"/>
    </w:rPr>
  </w:style>
  <w:style w:type="paragraph" w:styleId="TableofFigures">
    <w:name w:val="table of figures"/>
    <w:basedOn w:val="BodyText"/>
    <w:next w:val="Normal"/>
    <w:uiPriority w:val="99"/>
    <w:rsid w:val="00D8171C"/>
    <w:pPr>
      <w:ind w:left="1701" w:hanging="1701"/>
      <w:jc w:val="left"/>
    </w:pPr>
    <w:rPr>
      <w:b/>
    </w:rPr>
  </w:style>
  <w:style w:type="table" w:styleId="TableGrid">
    <w:name w:val="Table Grid"/>
    <w:basedOn w:val="TableNormal"/>
    <w:uiPriority w:val="39"/>
    <w:rsid w:val="00D8171C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17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2021-10-02T03:16:00Z</dcterms:created>
  <dcterms:modified xsi:type="dcterms:W3CDTF">2021-10-02T03:17:00Z</dcterms:modified>
</cp:coreProperties>
</file>